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09" w:rsidRDefault="00B73A0F">
      <w:p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Adobe 宋体 Std L" w:cs="宋体" w:hint="eastAsia"/>
          <w:b/>
          <w:bCs/>
          <w:kern w:val="0"/>
          <w:sz w:val="32"/>
          <w:szCs w:val="32"/>
        </w:rPr>
        <w:t>东北师范大学2016年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“北苑杯”有氧健身操大赛</w:t>
      </w:r>
      <w:r>
        <w:rPr>
          <w:rFonts w:ascii="黑体" w:eastAsia="黑体" w:hAnsi="Adobe 宋体 Std L" w:cs="宋体" w:hint="eastAsia"/>
          <w:b/>
          <w:bCs/>
          <w:kern w:val="0"/>
          <w:sz w:val="32"/>
          <w:szCs w:val="32"/>
        </w:rPr>
        <w:t>规程</w:t>
      </w:r>
    </w:p>
    <w:p w:rsidR="00981209" w:rsidRDefault="00B73A0F">
      <w:pPr>
        <w:numPr>
          <w:ilvl w:val="0"/>
          <w:numId w:val="1"/>
        </w:numPr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办赛目标与宗旨：</w:t>
      </w:r>
    </w:p>
    <w:p w:rsidR="00981209" w:rsidRDefault="00B73A0F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大力发展全民健身事业，激励大学生积极参与展示多元的健身文化形式，满足大学生对健与美的追求，延伸大学体育课堂，弘扬时尚的体育健身思想，提升品位的健身文明生活。</w:t>
      </w:r>
    </w:p>
    <w:p w:rsidR="00981209" w:rsidRDefault="00B73A0F">
      <w:pPr>
        <w:numPr>
          <w:ilvl w:val="0"/>
          <w:numId w:val="1"/>
        </w:numPr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报名办法、时间</w:t>
      </w:r>
      <w:r>
        <w:rPr>
          <w:rFonts w:ascii="黑体" w:eastAsia="黑体" w:hAnsi="黑体" w:cs="黑体" w:hint="eastAsia"/>
          <w:sz w:val="30"/>
          <w:szCs w:val="30"/>
        </w:rPr>
        <w:t>：</w:t>
      </w:r>
    </w:p>
    <w:p w:rsidR="00981209" w:rsidRDefault="00B73A0F">
      <w:pPr>
        <w:numPr>
          <w:ilvl w:val="0"/>
          <w:numId w:val="2"/>
        </w:num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参赛人数：10----20人。参赛人员性别不限。报名后人员人数不得更改。</w:t>
      </w:r>
    </w:p>
    <w:p w:rsidR="00981209" w:rsidRDefault="00B73A0F">
      <w:pPr>
        <w:numPr>
          <w:ilvl w:val="0"/>
          <w:numId w:val="2"/>
        </w:numPr>
        <w:ind w:firstLineChars="200" w:firstLine="560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hint="eastAsia"/>
          <w:sz w:val="28"/>
          <w:szCs w:val="28"/>
        </w:rPr>
        <w:t>2016年10月15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日下午17：00前，将报名表电子版发送到邮箱zhangwm698@.nenu.edu.cn带单位公章的A4纸打印报名表交到北苑食堂三</w:t>
      </w:r>
      <w:proofErr w:type="gramStart"/>
      <w:r>
        <w:rPr>
          <w:rFonts w:ascii="宋体" w:hAnsi="宋体" w:hint="eastAsia"/>
          <w:sz w:val="28"/>
          <w:szCs w:val="28"/>
        </w:rPr>
        <w:t>楼大学</w:t>
      </w:r>
      <w:proofErr w:type="gramEnd"/>
      <w:r>
        <w:rPr>
          <w:rFonts w:ascii="宋体" w:hAnsi="宋体" w:hint="eastAsia"/>
          <w:sz w:val="28"/>
          <w:szCs w:val="28"/>
        </w:rPr>
        <w:t>公共体育教研室办公室刘菁华老师处（办公电话：85099523）。</w:t>
      </w:r>
    </w:p>
    <w:p w:rsidR="00981209" w:rsidRDefault="00B73A0F">
      <w:pPr>
        <w:numPr>
          <w:ilvl w:val="0"/>
          <w:numId w:val="1"/>
        </w:numPr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参赛内容：</w:t>
      </w:r>
    </w:p>
    <w:p w:rsidR="00981209" w:rsidRDefault="00B73A0F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参赛内容为有氧健身操(是指运动员在音乐的伴奏下，通过徒手或运用器械来完成由各种操化、舞蹈、技巧、难度以及过渡连接、托举等时尚健身操舞动作组合而成的成套动作，以达到健身、健美和</w:t>
      </w:r>
      <w:proofErr w:type="gramStart"/>
      <w:r>
        <w:rPr>
          <w:rFonts w:ascii="宋体" w:hAnsi="宋体" w:cs="宋体" w:hint="eastAsia"/>
          <w:sz w:val="28"/>
          <w:szCs w:val="28"/>
        </w:rPr>
        <w:t>健心</w:t>
      </w:r>
      <w:proofErr w:type="gramEnd"/>
      <w:r>
        <w:rPr>
          <w:rFonts w:ascii="宋体" w:hAnsi="宋体" w:cs="宋体" w:hint="eastAsia"/>
          <w:sz w:val="28"/>
          <w:szCs w:val="28"/>
        </w:rPr>
        <w:t>为目的大众健身运动项目）。自选比赛动作编排：</w:t>
      </w:r>
    </w:p>
    <w:p w:rsidR="00981209" w:rsidRDefault="00B73A0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1.成套内容应充分体现动作素材的多样性、内容的新颖独特性；</w:t>
      </w:r>
    </w:p>
    <w:p w:rsidR="00981209" w:rsidRDefault="00B73A0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2.健身操</w:t>
      </w:r>
      <w:proofErr w:type="gramStart"/>
      <w:r>
        <w:rPr>
          <w:rFonts w:ascii="宋体" w:hAnsi="宋体" w:cs="宋体" w:hint="eastAsia"/>
          <w:sz w:val="28"/>
          <w:szCs w:val="28"/>
        </w:rPr>
        <w:t>需体现</w:t>
      </w:r>
      <w:proofErr w:type="gramEnd"/>
      <w:r>
        <w:rPr>
          <w:rFonts w:ascii="宋体" w:hAnsi="宋体" w:cs="宋体" w:hint="eastAsia"/>
          <w:sz w:val="28"/>
          <w:szCs w:val="28"/>
        </w:rPr>
        <w:t>不同运动项目与音乐、舞蹈风格的完美结合，呈现体育艺术类项目的风格特点；</w:t>
      </w:r>
    </w:p>
    <w:p w:rsidR="00981209" w:rsidRDefault="00B73A0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3.健身操应最大限度使用健美操基本步法（如踏板的板上技术和</w:t>
      </w:r>
      <w:proofErr w:type="gramStart"/>
      <w:r>
        <w:rPr>
          <w:rFonts w:ascii="宋体" w:hAnsi="宋体" w:cs="宋体" w:hint="eastAsia"/>
          <w:sz w:val="28"/>
          <w:szCs w:val="28"/>
        </w:rPr>
        <w:t>板下</w:t>
      </w:r>
      <w:proofErr w:type="gramEnd"/>
      <w:r>
        <w:rPr>
          <w:rFonts w:ascii="宋体" w:hAnsi="宋体" w:cs="宋体" w:hint="eastAsia"/>
          <w:sz w:val="28"/>
          <w:szCs w:val="28"/>
        </w:rPr>
        <w:t>技术、V字步、踏步、</w:t>
      </w:r>
      <w:proofErr w:type="gramStart"/>
      <w:r>
        <w:rPr>
          <w:rFonts w:ascii="宋体" w:hAnsi="宋体" w:cs="宋体" w:hint="eastAsia"/>
          <w:sz w:val="28"/>
          <w:szCs w:val="28"/>
        </w:rPr>
        <w:t>曼</w:t>
      </w:r>
      <w:proofErr w:type="gramEnd"/>
      <w:r>
        <w:rPr>
          <w:rFonts w:ascii="宋体" w:hAnsi="宋体" w:cs="宋体" w:hint="eastAsia"/>
          <w:sz w:val="28"/>
          <w:szCs w:val="28"/>
        </w:rPr>
        <w:t>步、一字步、吸腿、踢腿、踏步点地、</w:t>
      </w:r>
      <w:r>
        <w:rPr>
          <w:rFonts w:ascii="宋体" w:hAnsi="宋体" w:cs="宋体" w:hint="eastAsia"/>
          <w:sz w:val="28"/>
          <w:szCs w:val="28"/>
        </w:rPr>
        <w:lastRenderedPageBreak/>
        <w:t>转身、弓步等），手臂操化、舞蹈动作与轻器械有机结合，充分体现成套动作的多样性、复杂性和创新性；</w:t>
      </w:r>
    </w:p>
    <w:p w:rsidR="00981209" w:rsidRDefault="00B73A0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4.成套动作中至少要有4次以上队形变化，充分体现立体空间的层次变化。</w:t>
      </w:r>
    </w:p>
    <w:p w:rsidR="00981209" w:rsidRDefault="00B73A0F">
      <w:pPr>
        <w:numPr>
          <w:ilvl w:val="0"/>
          <w:numId w:val="1"/>
        </w:numPr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自选动作比赛时间:</w:t>
      </w:r>
      <w:r>
        <w:rPr>
          <w:rFonts w:ascii="黑体" w:eastAsia="黑体" w:hAnsi="黑体" w:cs="黑体" w:hint="eastAsia"/>
          <w:sz w:val="28"/>
          <w:szCs w:val="28"/>
        </w:rPr>
        <w:t>2分30秒--3分。</w:t>
      </w:r>
    </w:p>
    <w:p w:rsidR="00981209" w:rsidRDefault="00B73A0F">
      <w:pPr>
        <w:numPr>
          <w:ilvl w:val="0"/>
          <w:numId w:val="1"/>
        </w:numPr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比赛场地：</w:t>
      </w:r>
      <w:r>
        <w:rPr>
          <w:rFonts w:ascii="宋体" w:hAnsi="宋体" w:cs="宋体" w:hint="eastAsia"/>
          <w:sz w:val="28"/>
          <w:szCs w:val="28"/>
        </w:rPr>
        <w:t>12M×12M。</w:t>
      </w:r>
    </w:p>
    <w:p w:rsidR="00981209" w:rsidRDefault="00B73A0F">
      <w:pPr>
        <w:numPr>
          <w:ilvl w:val="0"/>
          <w:numId w:val="1"/>
        </w:numPr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Arial" w:eastAsia="黑体" w:hAnsi="Arial" w:cs="Arial" w:hint="eastAsia"/>
          <w:sz w:val="30"/>
          <w:szCs w:val="30"/>
        </w:rPr>
        <w:t>比赛地点：</w:t>
      </w:r>
      <w:r>
        <w:rPr>
          <w:rFonts w:ascii="宋体" w:hAnsi="宋体" w:cs="宋体" w:hint="eastAsia"/>
          <w:sz w:val="28"/>
          <w:szCs w:val="28"/>
        </w:rPr>
        <w:t>北苑健美操馆。</w:t>
      </w:r>
    </w:p>
    <w:p w:rsidR="00981209" w:rsidRDefault="00B73A0F">
      <w:pPr>
        <w:numPr>
          <w:ilvl w:val="0"/>
          <w:numId w:val="1"/>
        </w:num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Arial" w:eastAsia="黑体" w:hAnsi="Arial" w:cs="Arial" w:hint="eastAsia"/>
          <w:sz w:val="30"/>
          <w:szCs w:val="30"/>
        </w:rPr>
        <w:t>比赛时间：</w:t>
      </w:r>
      <w:r>
        <w:rPr>
          <w:rFonts w:ascii="Arial" w:eastAsia="黑体" w:hAnsi="Arial" w:cs="Arial" w:hint="eastAsia"/>
          <w:sz w:val="28"/>
          <w:szCs w:val="28"/>
        </w:rPr>
        <w:t>11</w:t>
      </w:r>
      <w:r>
        <w:rPr>
          <w:rFonts w:ascii="Arial" w:eastAsia="黑体" w:hAnsi="Arial" w:cs="Arial" w:hint="eastAsia"/>
          <w:sz w:val="28"/>
          <w:szCs w:val="28"/>
        </w:rPr>
        <w:t>月份</w:t>
      </w:r>
    </w:p>
    <w:p w:rsidR="00981209" w:rsidRDefault="00B73A0F">
      <w:pPr>
        <w:jc w:val="left"/>
        <w:rPr>
          <w:rFonts w:ascii="宋体" w:hAnsi="宋体" w:cs="宋体"/>
          <w:sz w:val="30"/>
          <w:szCs w:val="30"/>
        </w:rPr>
      </w:pPr>
      <w:r>
        <w:rPr>
          <w:rFonts w:ascii="Arial" w:eastAsia="黑体" w:hAnsi="Arial" w:cs="Arial" w:hint="eastAsia"/>
          <w:sz w:val="30"/>
          <w:szCs w:val="30"/>
        </w:rPr>
        <w:t>八、着装仪容：</w:t>
      </w:r>
      <w:r>
        <w:rPr>
          <w:rFonts w:ascii="宋体" w:hAnsi="宋体" w:cs="宋体" w:hint="eastAsia"/>
          <w:sz w:val="28"/>
          <w:szCs w:val="28"/>
        </w:rPr>
        <w:t>男女运动员着装款式不限，适合运动，可适当添加配饰，允许化淡妆，服装不得过于暴露。</w:t>
      </w:r>
    </w:p>
    <w:p w:rsidR="00981209" w:rsidRDefault="00B73A0F">
      <w:pPr>
        <w:jc w:val="left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九、评分标准：</w:t>
      </w:r>
      <w:r>
        <w:rPr>
          <w:rFonts w:ascii="宋体" w:hAnsi="宋体" w:cs="宋体" w:hint="eastAsia"/>
          <w:sz w:val="28"/>
          <w:szCs w:val="28"/>
        </w:rPr>
        <w:t>详见下表</w:t>
      </w:r>
    </w:p>
    <w:tbl>
      <w:tblPr>
        <w:tblpPr w:leftFromText="180" w:rightFromText="180" w:vertAnchor="text" w:tblpX="220" w:tblpY="199"/>
        <w:tblOverlap w:val="never"/>
        <w:tblW w:w="8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0"/>
        <w:gridCol w:w="6191"/>
        <w:gridCol w:w="909"/>
      </w:tblGrid>
      <w:tr w:rsidR="00981209">
        <w:trPr>
          <w:trHeight w:val="313"/>
        </w:trPr>
        <w:tc>
          <w:tcPr>
            <w:tcW w:w="1200" w:type="dxa"/>
          </w:tcPr>
          <w:p w:rsidR="00981209" w:rsidRDefault="00B73A0F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评分内容</w:t>
            </w:r>
          </w:p>
        </w:tc>
        <w:tc>
          <w:tcPr>
            <w:tcW w:w="6191" w:type="dxa"/>
          </w:tcPr>
          <w:p w:rsidR="00981209" w:rsidRDefault="00B73A0F">
            <w:pPr>
              <w:jc w:val="center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评分标准</w:t>
            </w:r>
          </w:p>
        </w:tc>
        <w:tc>
          <w:tcPr>
            <w:tcW w:w="909" w:type="dxa"/>
          </w:tcPr>
          <w:p w:rsidR="00981209" w:rsidRDefault="00B73A0F">
            <w:pPr>
              <w:jc w:val="left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Arial" w:eastAsia="黑体" w:hAnsi="Arial" w:cs="Arial" w:hint="eastAsia"/>
                <w:sz w:val="24"/>
                <w:szCs w:val="24"/>
              </w:rPr>
              <w:t>分值</w:t>
            </w:r>
          </w:p>
        </w:tc>
      </w:tr>
      <w:tr w:rsidR="00981209">
        <w:trPr>
          <w:trHeight w:val="839"/>
        </w:trPr>
        <w:tc>
          <w:tcPr>
            <w:tcW w:w="1200" w:type="dxa"/>
          </w:tcPr>
          <w:p w:rsidR="00981209" w:rsidRDefault="009812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 w:rsidR="00981209" w:rsidRDefault="00B73A0F">
            <w:pPr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成套创编</w:t>
            </w:r>
          </w:p>
        </w:tc>
        <w:tc>
          <w:tcPr>
            <w:tcW w:w="6191" w:type="dxa"/>
          </w:tcPr>
          <w:p w:rsidR="00981209" w:rsidRDefault="00B73A0F">
            <w:pPr>
              <w:jc w:val="left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成套编排主题突出，项目特征显著，动作内容新颖、多样，连接自然流畅，操舞（或民族舞）动作设计风格特点突出：充分发掘器械属性，完美展现轻器械动作语汇：开始和结束动作创编应表现出艺术性和表演性。</w:t>
            </w:r>
          </w:p>
        </w:tc>
        <w:tc>
          <w:tcPr>
            <w:tcW w:w="909" w:type="dxa"/>
          </w:tcPr>
          <w:p w:rsidR="00981209" w:rsidRDefault="00B73A0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  <w:p w:rsidR="00981209" w:rsidRDefault="00B73A0F">
            <w:pPr>
              <w:jc w:val="center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</w:tr>
      <w:tr w:rsidR="00981209">
        <w:trPr>
          <w:trHeight w:val="313"/>
        </w:trPr>
        <w:tc>
          <w:tcPr>
            <w:tcW w:w="1200" w:type="dxa"/>
          </w:tcPr>
          <w:p w:rsidR="00981209" w:rsidRDefault="00B73A0F">
            <w:pPr>
              <w:jc w:val="left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场地空间与队形</w:t>
            </w:r>
          </w:p>
        </w:tc>
        <w:tc>
          <w:tcPr>
            <w:tcW w:w="6191" w:type="dxa"/>
          </w:tcPr>
          <w:p w:rsidR="00981209" w:rsidRDefault="00B73A0F">
            <w:pPr>
              <w:jc w:val="left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成套动作需最大限度地使用比赛场地，有效利用三维空间的变化，正确处理运动员与器械的关系：队形设计新颖合理，变化清晰、流畅、体验团队配合意识。</w:t>
            </w:r>
          </w:p>
        </w:tc>
        <w:tc>
          <w:tcPr>
            <w:tcW w:w="909" w:type="dxa"/>
          </w:tcPr>
          <w:p w:rsidR="00981209" w:rsidRDefault="00B73A0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  <w:p w:rsidR="00981209" w:rsidRDefault="00B73A0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</w:tr>
      <w:tr w:rsidR="00981209">
        <w:trPr>
          <w:trHeight w:val="313"/>
        </w:trPr>
        <w:tc>
          <w:tcPr>
            <w:tcW w:w="1200" w:type="dxa"/>
          </w:tcPr>
          <w:p w:rsidR="00981209" w:rsidRDefault="00981209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981209" w:rsidRDefault="00B73A0F">
            <w:pPr>
              <w:jc w:val="left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音乐与表现</w:t>
            </w:r>
          </w:p>
        </w:tc>
        <w:tc>
          <w:tcPr>
            <w:tcW w:w="6191" w:type="dxa"/>
          </w:tcPr>
          <w:p w:rsidR="00981209" w:rsidRDefault="00B73A0F">
            <w:pPr>
              <w:jc w:val="left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成套动作的设计与音乐的节奏、动作相吻合：运动员通过高规格的动作技巧，干净利落、娴熟的完成成套动作，表演热情洋溢，将运动、激情、表演融为一体，表现出运动员的健康自信与活力，彰显团队表演的感染力。</w:t>
            </w:r>
          </w:p>
        </w:tc>
        <w:tc>
          <w:tcPr>
            <w:tcW w:w="909" w:type="dxa"/>
          </w:tcPr>
          <w:p w:rsidR="00981209" w:rsidRDefault="00B73A0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  <w:p w:rsidR="00981209" w:rsidRDefault="00B73A0F">
            <w:pPr>
              <w:jc w:val="center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</w:tr>
      <w:tr w:rsidR="00981209">
        <w:trPr>
          <w:trHeight w:val="313"/>
        </w:trPr>
        <w:tc>
          <w:tcPr>
            <w:tcW w:w="1200" w:type="dxa"/>
          </w:tcPr>
          <w:p w:rsidR="00981209" w:rsidRDefault="00981209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981209" w:rsidRDefault="00981209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981209" w:rsidRDefault="00B73A0F">
            <w:pPr>
              <w:jc w:val="left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技术技巧</w:t>
            </w:r>
          </w:p>
        </w:tc>
        <w:tc>
          <w:tcPr>
            <w:tcW w:w="6191" w:type="dxa"/>
          </w:tcPr>
          <w:p w:rsidR="00981209" w:rsidRDefault="00B73A0F">
            <w:pPr>
              <w:jc w:val="left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运动员合理利用身体能力（力量、爆发力、柔韧、速度、耐力和灵敏性）表现出正确的动作技术、使用器械的娴熟性以及完美完成动作的能力：全体队员在完成成套动作过程中，必须表现出对动作的速度、方向及身体位置的整体控制能力。</w:t>
            </w:r>
          </w:p>
        </w:tc>
        <w:tc>
          <w:tcPr>
            <w:tcW w:w="909" w:type="dxa"/>
          </w:tcPr>
          <w:p w:rsidR="00981209" w:rsidRDefault="00B73A0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  <w:p w:rsidR="00981209" w:rsidRDefault="00B73A0F">
            <w:pPr>
              <w:jc w:val="center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</w:tr>
      <w:tr w:rsidR="00981209">
        <w:trPr>
          <w:trHeight w:val="313"/>
        </w:trPr>
        <w:tc>
          <w:tcPr>
            <w:tcW w:w="1200" w:type="dxa"/>
          </w:tcPr>
          <w:p w:rsidR="00981209" w:rsidRDefault="00981209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981209" w:rsidRDefault="00B73A0F">
            <w:pPr>
              <w:jc w:val="center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一致性</w:t>
            </w:r>
          </w:p>
        </w:tc>
        <w:tc>
          <w:tcPr>
            <w:tcW w:w="6191" w:type="dxa"/>
          </w:tcPr>
          <w:p w:rsidR="00981209" w:rsidRDefault="00B73A0F">
            <w:pPr>
              <w:jc w:val="left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集体动作整齐划一，暨全体队员必须同步完成动作，主要体现在动作的幅度、速度、轨迹、合拍，队形移动变化的一致性表演能力的一致性等。</w:t>
            </w:r>
          </w:p>
        </w:tc>
        <w:tc>
          <w:tcPr>
            <w:tcW w:w="909" w:type="dxa"/>
          </w:tcPr>
          <w:p w:rsidR="00981209" w:rsidRDefault="00B73A0F">
            <w:pPr>
              <w:jc w:val="center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  <w:p w:rsidR="00981209" w:rsidRDefault="00B73A0F">
            <w:pPr>
              <w:jc w:val="center"/>
              <w:rPr>
                <w:rFonts w:ascii="Arial" w:eastAsia="黑体" w:hAnsi="Arial" w:cs="Arial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</w:tr>
    </w:tbl>
    <w:p w:rsidR="00981209" w:rsidRDefault="00981209">
      <w:pPr>
        <w:ind w:firstLineChars="200" w:firstLine="600"/>
        <w:jc w:val="left"/>
        <w:rPr>
          <w:rFonts w:ascii="Arial" w:eastAsia="黑体" w:hAnsi="Arial" w:cs="Arial"/>
          <w:sz w:val="30"/>
          <w:szCs w:val="30"/>
        </w:rPr>
      </w:pPr>
    </w:p>
    <w:p w:rsidR="00981209" w:rsidRDefault="00981209"/>
    <w:p w:rsidR="00981209" w:rsidRDefault="00B73A0F">
      <w:pPr>
        <w:spacing w:line="480" w:lineRule="auto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附件1</w:t>
      </w:r>
    </w:p>
    <w:p w:rsidR="00981209" w:rsidRDefault="00B73A0F">
      <w:pPr>
        <w:spacing w:line="480" w:lineRule="auto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东北师范大学2016年“北苑杯”有氧健身操赛报名表</w:t>
      </w:r>
    </w:p>
    <w:p w:rsidR="00981209" w:rsidRDefault="00981209">
      <w:pPr>
        <w:spacing w:line="480" w:lineRule="auto"/>
        <w:ind w:firstLineChars="442" w:firstLine="928"/>
        <w:rPr>
          <w:rFonts w:ascii="宋体" w:hAnsi="宋体" w:cs="宋体"/>
          <w:kern w:val="0"/>
          <w:szCs w:val="21"/>
        </w:rPr>
      </w:pPr>
    </w:p>
    <w:p w:rsidR="00981209" w:rsidRDefault="00B73A0F"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学院（部）：</w:t>
      </w:r>
    </w:p>
    <w:p w:rsidR="00981209" w:rsidRDefault="00B73A0F"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领      队：</w:t>
      </w:r>
    </w:p>
    <w:p w:rsidR="00981209" w:rsidRDefault="00B73A0F">
      <w:r>
        <w:rPr>
          <w:rFonts w:ascii="宋体" w:hAnsi="宋体" w:cs="宋体" w:hint="eastAsia"/>
          <w:kern w:val="0"/>
          <w:sz w:val="28"/>
          <w:szCs w:val="28"/>
        </w:rPr>
        <w:t>联 系 方式：</w:t>
      </w:r>
    </w:p>
    <w:p w:rsidR="00981209" w:rsidRDefault="00981209"/>
    <w:tbl>
      <w:tblPr>
        <w:tblpPr w:leftFromText="180" w:rightFromText="180" w:vertAnchor="text" w:horzAnchor="page" w:tblpX="1937" w:tblpY="193"/>
        <w:tblOverlap w:val="never"/>
        <w:tblW w:w="7940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14"/>
        <w:gridCol w:w="2722"/>
        <w:gridCol w:w="2517"/>
        <w:gridCol w:w="1487"/>
      </w:tblGrid>
      <w:tr w:rsidR="00981209">
        <w:trPr>
          <w:trHeight w:val="696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性　别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  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209" w:rsidRDefault="00B73A0F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209" w:rsidRDefault="00B73A0F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备　注</w:t>
            </w:r>
          </w:p>
        </w:tc>
      </w:tr>
      <w:tr w:rsidR="00981209">
        <w:trPr>
          <w:trHeight w:val="573"/>
        </w:trPr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男  子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81209">
        <w:trPr>
          <w:trHeight w:val="573"/>
        </w:trPr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81209">
        <w:trPr>
          <w:trHeight w:val="573"/>
        </w:trPr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3.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81209">
        <w:trPr>
          <w:trHeight w:val="573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4.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81209">
        <w:trPr>
          <w:trHeight w:val="573"/>
        </w:trPr>
        <w:tc>
          <w:tcPr>
            <w:tcW w:w="12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81209" w:rsidRDefault="00B73A0F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女  子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81209">
        <w:trPr>
          <w:trHeight w:val="573"/>
        </w:trPr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81209">
        <w:trPr>
          <w:trHeight w:val="573"/>
        </w:trPr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spacing w:line="480" w:lineRule="auto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3.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81209">
        <w:trPr>
          <w:trHeight w:val="573"/>
        </w:trPr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spacing w:line="480" w:lineRule="auto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4.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81209">
        <w:trPr>
          <w:trHeight w:val="582"/>
        </w:trPr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spacing w:line="480" w:lineRule="auto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B73A0F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5.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209" w:rsidRDefault="00981209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209" w:rsidRDefault="00981209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981209" w:rsidRDefault="00981209"/>
    <w:p w:rsidR="00981209" w:rsidRDefault="00B73A0F">
      <w:pPr>
        <w:rPr>
          <w:b/>
          <w:bCs/>
          <w:sz w:val="32"/>
          <w:szCs w:val="32"/>
        </w:rPr>
      </w:pPr>
      <w:r>
        <w:rPr>
          <w:rFonts w:hint="eastAsia"/>
        </w:rPr>
        <w:t xml:space="preserve">                                                 </w:t>
      </w:r>
      <w:r>
        <w:rPr>
          <w:rFonts w:hint="eastAsia"/>
          <w:b/>
          <w:bCs/>
          <w:sz w:val="32"/>
          <w:szCs w:val="32"/>
        </w:rPr>
        <w:t xml:space="preserve"> </w:t>
      </w:r>
    </w:p>
    <w:p w:rsidR="00981209" w:rsidRDefault="00B73A0F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院系公章：</w:t>
      </w:r>
    </w:p>
    <w:p w:rsidR="00981209" w:rsidRDefault="00981209"/>
    <w:sectPr w:rsidR="00981209" w:rsidSect="00C1080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宋体 Std L">
    <w:altName w:val="宋体"/>
    <w:charset w:val="86"/>
    <w:family w:val="auto"/>
    <w:pitch w:val="default"/>
    <w:sig w:usb0="00000000" w:usb1="00000000" w:usb2="00000010" w:usb3="00000000" w:csb0="0006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21FF9"/>
    <w:multiLevelType w:val="singleLevel"/>
    <w:tmpl w:val="56021FF9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6048DB1"/>
    <w:multiLevelType w:val="singleLevel"/>
    <w:tmpl w:val="56048DB1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6F62CDC"/>
    <w:rsid w:val="002F5232"/>
    <w:rsid w:val="00981209"/>
    <w:rsid w:val="00B73A0F"/>
    <w:rsid w:val="00C10806"/>
    <w:rsid w:val="46F62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080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216</Words>
  <Characters>1237</Characters>
  <Application>Microsoft Office Word</Application>
  <DocSecurity>0</DocSecurity>
  <Lines>10</Lines>
  <Paragraphs>2</Paragraphs>
  <ScaleCrop>false</ScaleCrop>
  <Company>1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2016-09-07T00:24:00Z</dcterms:created>
  <dcterms:modified xsi:type="dcterms:W3CDTF">2016-09-07T00:24:00Z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